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436" w:rsidRDefault="00A26436" w:rsidP="00A26436">
      <w:pPr>
        <w:spacing w:after="0" w:line="240" w:lineRule="auto"/>
        <w:rPr>
          <w:rFonts w:cstheme="minorHAnsi"/>
          <w:color w:val="000000"/>
          <w:sz w:val="24"/>
          <w:szCs w:val="24"/>
        </w:rPr>
      </w:pPr>
      <w:r>
        <w:rPr>
          <w:rFonts w:cstheme="minorHAnsi"/>
          <w:b/>
          <w:color w:val="000000"/>
          <w:sz w:val="24"/>
          <w:szCs w:val="24"/>
          <w:u w:val="single"/>
        </w:rPr>
        <w:t>TRANSITION CHECKLIST</w:t>
      </w:r>
    </w:p>
    <w:p w:rsidR="00A26436"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color w:val="000000"/>
          <w:sz w:val="24"/>
          <w:szCs w:val="24"/>
        </w:rPr>
      </w:pPr>
      <w:r w:rsidRPr="00A26436">
        <w:rPr>
          <w:rFonts w:cstheme="minorHAnsi"/>
          <w:b/>
          <w:i/>
          <w:color w:val="000000"/>
          <w:sz w:val="24"/>
          <w:szCs w:val="24"/>
        </w:rPr>
        <w:t>Prepared by the ISBA’s Special Committee on Transition Planning</w:t>
      </w:r>
      <w:r w:rsidR="00E27334">
        <w:rPr>
          <w:rFonts w:cstheme="minorHAnsi"/>
          <w:b/>
          <w:i/>
          <w:color w:val="000000"/>
          <w:sz w:val="24"/>
          <w:szCs w:val="24"/>
        </w:rPr>
        <w:t>*</w:t>
      </w:r>
    </w:p>
    <w:p w:rsidR="00A26436" w:rsidRPr="0010179E"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b/>
          <w:color w:val="000000"/>
          <w:sz w:val="24"/>
          <w:szCs w:val="24"/>
        </w:rPr>
      </w:pPr>
      <w:r w:rsidRPr="0010179E">
        <w:rPr>
          <w:rFonts w:cstheme="minorHAnsi"/>
          <w:b/>
          <w:color w:val="000000"/>
          <w:sz w:val="24"/>
          <w:szCs w:val="24"/>
        </w:rPr>
        <w:t>I.</w:t>
      </w:r>
      <w:r w:rsidRPr="0010179E">
        <w:rPr>
          <w:rFonts w:cstheme="minorHAnsi"/>
          <w:b/>
          <w:color w:val="000000"/>
          <w:sz w:val="24"/>
          <w:szCs w:val="24"/>
        </w:rPr>
        <w:tab/>
        <w:t>PERSONAL MATTERS</w:t>
      </w:r>
    </w:p>
    <w:p w:rsidR="00A26436" w:rsidRPr="0010179E" w:rsidRDefault="00A26436" w:rsidP="00A26436">
      <w:pPr>
        <w:spacing w:after="0" w:line="240" w:lineRule="auto"/>
        <w:rPr>
          <w:rFonts w:cstheme="minorHAnsi"/>
          <w:color w:val="000000"/>
          <w:sz w:val="24"/>
          <w:szCs w:val="24"/>
        </w:rPr>
      </w:pPr>
    </w:p>
    <w:p w:rsidR="00A26436" w:rsidRPr="00325606" w:rsidRDefault="00A26436" w:rsidP="00A26436">
      <w:pPr>
        <w:pStyle w:val="ListParagraph"/>
        <w:numPr>
          <w:ilvl w:val="0"/>
          <w:numId w:val="1"/>
        </w:numPr>
        <w:spacing w:after="0" w:line="240" w:lineRule="auto"/>
        <w:ind w:left="1166" w:hanging="446"/>
        <w:rPr>
          <w:rFonts w:cstheme="minorHAnsi"/>
          <w:color w:val="000000"/>
          <w:sz w:val="24"/>
          <w:szCs w:val="24"/>
        </w:rPr>
      </w:pPr>
      <w:r w:rsidRPr="00325606">
        <w:rPr>
          <w:rFonts w:cstheme="minorHAnsi"/>
          <w:color w:val="000000"/>
          <w:sz w:val="24"/>
          <w:szCs w:val="24"/>
        </w:rPr>
        <w:t>Analyze financial resources, sources of income, including Social Security and other benefits, and likely expenses.</w:t>
      </w:r>
    </w:p>
    <w:p w:rsidR="00A26436" w:rsidRPr="0010179E" w:rsidRDefault="00A26436" w:rsidP="00A26436">
      <w:pPr>
        <w:spacing w:after="0" w:line="240" w:lineRule="auto"/>
        <w:rPr>
          <w:rFonts w:cstheme="minorHAnsi"/>
          <w:color w:val="000000"/>
          <w:sz w:val="24"/>
          <w:szCs w:val="24"/>
        </w:rPr>
      </w:pPr>
    </w:p>
    <w:p w:rsidR="00A26436" w:rsidRDefault="00A26436" w:rsidP="00A26436">
      <w:pPr>
        <w:pStyle w:val="ListParagraph"/>
        <w:numPr>
          <w:ilvl w:val="0"/>
          <w:numId w:val="2"/>
        </w:numPr>
        <w:spacing w:after="0" w:line="240" w:lineRule="auto"/>
        <w:ind w:left="1170" w:hanging="450"/>
        <w:rPr>
          <w:rFonts w:cstheme="minorHAnsi"/>
          <w:color w:val="000000"/>
          <w:sz w:val="24"/>
          <w:szCs w:val="24"/>
        </w:rPr>
      </w:pPr>
      <w:r w:rsidRPr="00D17BDF">
        <w:rPr>
          <w:rFonts w:cstheme="minorHAnsi"/>
          <w:color w:val="000000"/>
          <w:sz w:val="24"/>
          <w:szCs w:val="24"/>
        </w:rPr>
        <w:t>Prepare a personal budget reflecting your expected income and expenses during retirement.</w:t>
      </w:r>
    </w:p>
    <w:p w:rsidR="00A26436" w:rsidRPr="00202991" w:rsidRDefault="00A26436" w:rsidP="00A26436">
      <w:pPr>
        <w:spacing w:after="0" w:line="240" w:lineRule="auto"/>
        <w:ind w:left="1086"/>
        <w:rPr>
          <w:rFonts w:cstheme="minorHAnsi"/>
          <w:color w:val="000000"/>
          <w:sz w:val="24"/>
          <w:szCs w:val="24"/>
        </w:rPr>
      </w:pPr>
    </w:p>
    <w:p w:rsidR="00A26436" w:rsidRPr="00325606" w:rsidRDefault="00A26436" w:rsidP="00A26436">
      <w:pPr>
        <w:pStyle w:val="ListParagraph"/>
        <w:numPr>
          <w:ilvl w:val="0"/>
          <w:numId w:val="2"/>
        </w:numPr>
        <w:spacing w:after="0" w:line="240" w:lineRule="auto"/>
        <w:ind w:left="1170" w:hanging="450"/>
        <w:rPr>
          <w:rFonts w:cstheme="minorHAnsi"/>
          <w:color w:val="000000"/>
          <w:sz w:val="24"/>
          <w:szCs w:val="24"/>
        </w:rPr>
      </w:pPr>
      <w:r w:rsidRPr="00325606">
        <w:rPr>
          <w:rFonts w:cstheme="minorHAnsi"/>
          <w:color w:val="000000"/>
          <w:sz w:val="24"/>
          <w:szCs w:val="24"/>
        </w:rPr>
        <w:t xml:space="preserve">Check status (funding and ownership) of retirement, life insurance, and other </w:t>
      </w:r>
      <w:r>
        <w:rPr>
          <w:rFonts w:cstheme="minorHAnsi"/>
          <w:color w:val="000000"/>
          <w:sz w:val="24"/>
          <w:szCs w:val="24"/>
        </w:rPr>
        <w:t xml:space="preserve">  </w:t>
      </w:r>
      <w:r w:rsidRPr="00325606">
        <w:rPr>
          <w:rFonts w:cstheme="minorHAnsi"/>
          <w:color w:val="000000"/>
          <w:sz w:val="24"/>
          <w:szCs w:val="24"/>
        </w:rPr>
        <w:t>financial accounts.</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3"/>
        </w:numPr>
        <w:spacing w:after="0" w:line="240" w:lineRule="auto"/>
        <w:ind w:left="1170" w:hanging="450"/>
        <w:rPr>
          <w:rFonts w:cstheme="minorHAnsi"/>
          <w:color w:val="000000"/>
          <w:sz w:val="24"/>
          <w:szCs w:val="24"/>
        </w:rPr>
      </w:pPr>
      <w:r w:rsidRPr="004A78BD">
        <w:rPr>
          <w:rFonts w:cstheme="minorHAnsi"/>
          <w:color w:val="000000"/>
          <w:sz w:val="24"/>
          <w:szCs w:val="24"/>
        </w:rPr>
        <w:t>Review medical insurance, Medicare enrollment, and other government benefits</w:t>
      </w:r>
      <w:r>
        <w:rPr>
          <w:rFonts w:cstheme="minorHAnsi"/>
          <w:color w:val="000000"/>
          <w:sz w:val="24"/>
          <w:szCs w:val="24"/>
        </w:rPr>
        <w:t>.</w:t>
      </w:r>
    </w:p>
    <w:p w:rsidR="00A26436" w:rsidRDefault="00A26436" w:rsidP="00A26436">
      <w:pPr>
        <w:spacing w:after="0" w:line="240" w:lineRule="auto"/>
        <w:rPr>
          <w:rFonts w:cstheme="minorHAnsi"/>
          <w:color w:val="000000"/>
          <w:sz w:val="24"/>
          <w:szCs w:val="24"/>
        </w:rPr>
      </w:pPr>
    </w:p>
    <w:p w:rsidR="00A26436" w:rsidRPr="00202991" w:rsidRDefault="00A26436" w:rsidP="00A26436">
      <w:pPr>
        <w:pStyle w:val="ListParagraph"/>
        <w:numPr>
          <w:ilvl w:val="0"/>
          <w:numId w:val="4"/>
        </w:numPr>
        <w:spacing w:after="0" w:line="240" w:lineRule="auto"/>
        <w:ind w:left="1080"/>
        <w:rPr>
          <w:rFonts w:cstheme="minorHAnsi"/>
          <w:color w:val="000000"/>
          <w:sz w:val="24"/>
          <w:szCs w:val="24"/>
        </w:rPr>
      </w:pPr>
      <w:r w:rsidRPr="00202991">
        <w:rPr>
          <w:rFonts w:cstheme="minorHAnsi"/>
          <w:color w:val="000000"/>
          <w:sz w:val="24"/>
          <w:szCs w:val="24"/>
        </w:rPr>
        <w:t xml:space="preserve">  If necessary, consult with an investment or tax professional.</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7"/>
        </w:numPr>
        <w:tabs>
          <w:tab w:val="left" w:pos="1980"/>
        </w:tabs>
        <w:spacing w:after="0" w:line="240" w:lineRule="auto"/>
        <w:ind w:left="1170" w:hanging="450"/>
        <w:rPr>
          <w:rFonts w:cstheme="minorHAnsi"/>
          <w:color w:val="000000"/>
          <w:sz w:val="24"/>
          <w:szCs w:val="24"/>
        </w:rPr>
      </w:pPr>
      <w:r w:rsidRPr="001C22B1">
        <w:rPr>
          <w:rFonts w:cstheme="minorHAnsi"/>
          <w:color w:val="000000"/>
          <w:sz w:val="24"/>
          <w:szCs w:val="24"/>
        </w:rPr>
        <w:t>Review your personal legal affairs to make sure that your estate planning, life-care planning (powers of attorneys), and long-term care planning documents reflect your wishes.  Complete any necessary updates.  If you don’t have any planning documents in place, make the time to consider these issues and create the appropriate documents.</w:t>
      </w:r>
    </w:p>
    <w:p w:rsidR="00A26436" w:rsidRPr="0010179E"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color w:val="000000"/>
          <w:sz w:val="24"/>
          <w:szCs w:val="24"/>
        </w:rPr>
      </w:pPr>
    </w:p>
    <w:p w:rsidR="00A26436" w:rsidRDefault="00A26436" w:rsidP="00A26436">
      <w:pPr>
        <w:spacing w:after="0" w:line="240" w:lineRule="auto"/>
        <w:rPr>
          <w:rFonts w:cstheme="minorHAnsi"/>
          <w:color w:val="000000"/>
          <w:sz w:val="24"/>
          <w:szCs w:val="24"/>
        </w:rPr>
      </w:pPr>
      <w:r w:rsidRPr="0010179E">
        <w:rPr>
          <w:rFonts w:cstheme="minorHAnsi"/>
          <w:b/>
          <w:color w:val="000000"/>
          <w:sz w:val="24"/>
          <w:szCs w:val="24"/>
        </w:rPr>
        <w:t>II.</w:t>
      </w:r>
      <w:r w:rsidRPr="0010179E">
        <w:rPr>
          <w:rFonts w:cstheme="minorHAnsi"/>
          <w:b/>
          <w:color w:val="000000"/>
          <w:sz w:val="24"/>
          <w:szCs w:val="24"/>
        </w:rPr>
        <w:tab/>
        <w:t xml:space="preserve">PROFESSIONAL REGULATORY </w:t>
      </w:r>
      <w:r>
        <w:rPr>
          <w:rFonts w:cstheme="minorHAnsi"/>
          <w:b/>
          <w:color w:val="000000"/>
          <w:sz w:val="24"/>
          <w:szCs w:val="24"/>
        </w:rPr>
        <w:t>MATTERS</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8"/>
        </w:numPr>
        <w:spacing w:after="0" w:line="240" w:lineRule="auto"/>
        <w:ind w:left="1170"/>
        <w:rPr>
          <w:rFonts w:cstheme="minorHAnsi"/>
          <w:color w:val="000000"/>
          <w:sz w:val="24"/>
          <w:szCs w:val="24"/>
        </w:rPr>
      </w:pPr>
      <w:r w:rsidRPr="001C22B1">
        <w:rPr>
          <w:rFonts w:cstheme="minorHAnsi"/>
          <w:color w:val="000000"/>
          <w:sz w:val="24"/>
          <w:szCs w:val="24"/>
        </w:rPr>
        <w:t>Well in advance of transition</w:t>
      </w:r>
      <w:r w:rsidR="00167BC6" w:rsidRPr="001C22B1">
        <w:rPr>
          <w:rFonts w:cstheme="minorHAnsi"/>
          <w:color w:val="000000"/>
          <w:sz w:val="24"/>
          <w:szCs w:val="24"/>
        </w:rPr>
        <w:t>ing</w:t>
      </w:r>
      <w:r w:rsidRPr="001C22B1">
        <w:rPr>
          <w:rFonts w:cstheme="minorHAnsi"/>
          <w:color w:val="000000"/>
          <w:sz w:val="24"/>
          <w:szCs w:val="24"/>
        </w:rPr>
        <w:t xml:space="preserve"> out of private practice, consider preparing a succession plan that designates a</w:t>
      </w:r>
      <w:r w:rsidR="00167BC6" w:rsidRPr="001C22B1">
        <w:rPr>
          <w:rFonts w:cstheme="minorHAnsi"/>
          <w:color w:val="000000"/>
          <w:sz w:val="24"/>
          <w:szCs w:val="24"/>
        </w:rPr>
        <w:t>nother</w:t>
      </w:r>
      <w:r w:rsidRPr="001C22B1">
        <w:rPr>
          <w:rFonts w:cstheme="minorHAnsi"/>
          <w:color w:val="000000"/>
          <w:sz w:val="24"/>
          <w:szCs w:val="24"/>
        </w:rPr>
        <w:t xml:space="preserve"> lawyer to handle your client and business matters in the event of your inability to do so.  </w:t>
      </w:r>
    </w:p>
    <w:p w:rsidR="00A26436" w:rsidRDefault="00A26436" w:rsidP="00A26436">
      <w:pPr>
        <w:spacing w:after="0" w:line="240" w:lineRule="auto"/>
        <w:rPr>
          <w:rFonts w:cstheme="minorHAnsi"/>
          <w:color w:val="000000"/>
          <w:sz w:val="24"/>
          <w:szCs w:val="24"/>
        </w:rPr>
      </w:pPr>
    </w:p>
    <w:p w:rsidR="001B4AFE" w:rsidRDefault="00A26436" w:rsidP="00A26436">
      <w:pPr>
        <w:spacing w:after="0" w:line="240" w:lineRule="auto"/>
        <w:rPr>
          <w:rFonts w:cstheme="minorHAnsi"/>
          <w:color w:val="000000"/>
          <w:sz w:val="24"/>
          <w:szCs w:val="24"/>
        </w:rPr>
      </w:pPr>
      <w:r w:rsidRPr="001B4AFE">
        <w:rPr>
          <w:rFonts w:cstheme="minorHAnsi"/>
          <w:b/>
          <w:i/>
          <w:color w:val="000000"/>
          <w:sz w:val="24"/>
          <w:szCs w:val="24"/>
        </w:rPr>
        <w:t>Practice Pointer 1</w:t>
      </w:r>
      <w:r>
        <w:rPr>
          <w:rFonts w:cstheme="minorHAnsi"/>
          <w:color w:val="000000"/>
          <w:sz w:val="24"/>
          <w:szCs w:val="24"/>
        </w:rPr>
        <w:t xml:space="preserve">: </w:t>
      </w:r>
      <w:r w:rsidR="00E47A89" w:rsidRPr="00167BC6">
        <w:rPr>
          <w:rFonts w:cstheme="minorHAnsi"/>
          <w:i/>
          <w:color w:val="000000"/>
          <w:sz w:val="24"/>
          <w:szCs w:val="24"/>
        </w:rPr>
        <w:t>Although not required, Illinois Rule of Professional Conduct 1.3, Comment [5] provides that to prevent neglect of client matters in the event of a lawyer</w:t>
      </w:r>
      <w:r w:rsidR="001B4AFE" w:rsidRPr="00167BC6">
        <w:rPr>
          <w:rFonts w:cstheme="minorHAnsi"/>
          <w:i/>
          <w:color w:val="000000"/>
          <w:sz w:val="24"/>
          <w:szCs w:val="24"/>
        </w:rPr>
        <w:t>’</w:t>
      </w:r>
      <w:r w:rsidR="00E47A89" w:rsidRPr="00167BC6">
        <w:rPr>
          <w:rFonts w:cstheme="minorHAnsi"/>
          <w:i/>
          <w:color w:val="000000"/>
          <w:sz w:val="24"/>
          <w:szCs w:val="24"/>
        </w:rPr>
        <w:t>s death or disability</w:t>
      </w:r>
      <w:r w:rsidR="001B4AFE" w:rsidRPr="00167BC6">
        <w:rPr>
          <w:rFonts w:cstheme="minorHAnsi"/>
          <w:i/>
          <w:color w:val="000000"/>
          <w:sz w:val="24"/>
          <w:szCs w:val="24"/>
        </w:rPr>
        <w:t>, the duty of diligence may require lawyers to prepare a plan that designates a competent lawyer to review client files, notify clients of a lawyers death or disability, and determine if immediate protective action must be taken.</w:t>
      </w:r>
      <w:r w:rsidR="001B4AFE">
        <w:rPr>
          <w:rFonts w:cstheme="minorHAnsi"/>
          <w:color w:val="000000"/>
          <w:sz w:val="24"/>
          <w:szCs w:val="24"/>
        </w:rPr>
        <w:t xml:space="preserve">  </w:t>
      </w:r>
    </w:p>
    <w:p w:rsidR="00A26436" w:rsidRPr="0010179E" w:rsidRDefault="00A26436" w:rsidP="00A26436">
      <w:pPr>
        <w:spacing w:after="0" w:line="240" w:lineRule="auto"/>
        <w:rPr>
          <w:rFonts w:cstheme="minorHAnsi"/>
          <w:color w:val="000000"/>
          <w:sz w:val="24"/>
          <w:szCs w:val="24"/>
        </w:rPr>
      </w:pPr>
      <w:r>
        <w:rPr>
          <w:rFonts w:cstheme="minorHAnsi"/>
          <w:color w:val="000000"/>
          <w:sz w:val="24"/>
          <w:szCs w:val="24"/>
        </w:rPr>
        <w:t xml:space="preserve"> </w:t>
      </w:r>
    </w:p>
    <w:p w:rsidR="00A26436" w:rsidRPr="004A78BD" w:rsidRDefault="00A26436" w:rsidP="00A26436">
      <w:pPr>
        <w:pStyle w:val="ListParagraph"/>
        <w:numPr>
          <w:ilvl w:val="0"/>
          <w:numId w:val="5"/>
        </w:numPr>
        <w:spacing w:after="0" w:line="240" w:lineRule="auto"/>
        <w:ind w:left="1170" w:hanging="450"/>
        <w:rPr>
          <w:rFonts w:cstheme="minorHAnsi"/>
          <w:color w:val="000000"/>
          <w:sz w:val="24"/>
          <w:szCs w:val="24"/>
        </w:rPr>
      </w:pPr>
      <w:r w:rsidRPr="004A78BD">
        <w:rPr>
          <w:rFonts w:cstheme="minorHAnsi"/>
          <w:color w:val="000000"/>
          <w:sz w:val="24"/>
          <w:szCs w:val="24"/>
        </w:rPr>
        <w:t>Review and determine your lawyer registration status with the ARDC.</w:t>
      </w:r>
    </w:p>
    <w:p w:rsidR="00A26436" w:rsidRPr="0010179E" w:rsidRDefault="00A26436" w:rsidP="00A26436">
      <w:pPr>
        <w:spacing w:after="0" w:line="240" w:lineRule="auto"/>
        <w:rPr>
          <w:rFonts w:cstheme="minorHAnsi"/>
          <w:color w:val="000000"/>
          <w:sz w:val="24"/>
          <w:szCs w:val="24"/>
        </w:rPr>
      </w:pPr>
    </w:p>
    <w:p w:rsidR="00A26436" w:rsidRDefault="00A26436" w:rsidP="00A26436">
      <w:pPr>
        <w:spacing w:after="0" w:line="240" w:lineRule="auto"/>
        <w:rPr>
          <w:rFonts w:cstheme="minorHAnsi"/>
          <w:i/>
          <w:color w:val="000000"/>
          <w:sz w:val="24"/>
          <w:szCs w:val="24"/>
        </w:rPr>
      </w:pPr>
      <w:r w:rsidRPr="00B22887">
        <w:rPr>
          <w:rFonts w:cstheme="minorHAnsi"/>
          <w:b/>
          <w:i/>
          <w:color w:val="000000"/>
          <w:sz w:val="24"/>
          <w:szCs w:val="24"/>
        </w:rPr>
        <w:t>Practice Pointer</w:t>
      </w:r>
      <w:r>
        <w:rPr>
          <w:rFonts w:cstheme="minorHAnsi"/>
          <w:b/>
          <w:i/>
          <w:color w:val="000000"/>
          <w:sz w:val="24"/>
          <w:szCs w:val="24"/>
        </w:rPr>
        <w:t xml:space="preserve"> </w:t>
      </w:r>
      <w:r w:rsidR="00167BC6">
        <w:rPr>
          <w:rFonts w:cstheme="minorHAnsi"/>
          <w:b/>
          <w:i/>
          <w:color w:val="000000"/>
          <w:sz w:val="24"/>
          <w:szCs w:val="24"/>
        </w:rPr>
        <w:t>2</w:t>
      </w:r>
      <w:r w:rsidRPr="00B22887">
        <w:rPr>
          <w:rFonts w:cstheme="minorHAnsi"/>
          <w:i/>
          <w:color w:val="000000"/>
          <w:sz w:val="24"/>
          <w:szCs w:val="24"/>
        </w:rPr>
        <w:t xml:space="preserve">: Supreme Court Rule 756(a) identifies the three major categories of licensure for Illinois lawyers: active, retired, and inactive.  Each has different fee requirements, practice limitations, and practice resumption requirements.  </w:t>
      </w:r>
      <w:r w:rsidRPr="0010179E">
        <w:rPr>
          <w:rFonts w:cstheme="minorHAnsi"/>
          <w:i/>
          <w:color w:val="000000"/>
          <w:sz w:val="24"/>
          <w:szCs w:val="24"/>
        </w:rPr>
        <w:t xml:space="preserve">  </w:t>
      </w:r>
    </w:p>
    <w:p w:rsidR="00A26436" w:rsidRDefault="00A26436" w:rsidP="00A26436">
      <w:pPr>
        <w:spacing w:after="0" w:line="240" w:lineRule="auto"/>
        <w:rPr>
          <w:rFonts w:cstheme="minorHAnsi"/>
          <w:i/>
          <w:color w:val="000000"/>
          <w:sz w:val="24"/>
          <w:szCs w:val="24"/>
        </w:rPr>
      </w:pPr>
    </w:p>
    <w:p w:rsidR="00A26436" w:rsidRDefault="00A26436" w:rsidP="00A26436">
      <w:pPr>
        <w:spacing w:after="0" w:line="240" w:lineRule="auto"/>
        <w:rPr>
          <w:rFonts w:cstheme="minorHAnsi"/>
          <w:color w:val="000000"/>
          <w:sz w:val="24"/>
          <w:szCs w:val="24"/>
        </w:rPr>
      </w:pPr>
      <w:r w:rsidRPr="000E1289">
        <w:rPr>
          <w:rFonts w:cstheme="minorHAnsi"/>
          <w:b/>
          <w:i/>
          <w:color w:val="000000"/>
          <w:sz w:val="24"/>
          <w:szCs w:val="24"/>
        </w:rPr>
        <w:lastRenderedPageBreak/>
        <w:t xml:space="preserve">Practice Pointer </w:t>
      </w:r>
      <w:r w:rsidR="00167BC6">
        <w:rPr>
          <w:rFonts w:cstheme="minorHAnsi"/>
          <w:b/>
          <w:i/>
          <w:color w:val="000000"/>
          <w:sz w:val="24"/>
          <w:szCs w:val="24"/>
        </w:rPr>
        <w:t>3</w:t>
      </w:r>
      <w:r>
        <w:rPr>
          <w:rFonts w:cstheme="minorHAnsi"/>
          <w:i/>
          <w:color w:val="000000"/>
          <w:sz w:val="24"/>
          <w:szCs w:val="24"/>
        </w:rPr>
        <w:t xml:space="preserve">: A retired or inactive lawyer may not practice law or hold themselves out as being able to practice law.  An inactive or retired lawyer however may provide pro bono legal services under certain limited circumstances under the auspices of a not-for-profit legal entity. Rule 756(k). </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6"/>
        </w:numPr>
        <w:spacing w:after="0" w:line="240" w:lineRule="auto"/>
        <w:ind w:left="1170" w:hanging="450"/>
        <w:rPr>
          <w:rFonts w:cstheme="minorHAnsi"/>
          <w:color w:val="000000"/>
          <w:sz w:val="24"/>
          <w:szCs w:val="24"/>
        </w:rPr>
      </w:pPr>
      <w:r w:rsidRPr="004A78BD">
        <w:rPr>
          <w:rFonts w:cstheme="minorHAnsi"/>
          <w:color w:val="000000"/>
          <w:sz w:val="24"/>
          <w:szCs w:val="24"/>
        </w:rPr>
        <w:t>If you plan on doing any legal work during “retirement” (or if you think you may want to return to active practice at some time in the future), plan for meeting necessary MCLE requirements (see generally Rule 794).</w:t>
      </w:r>
    </w:p>
    <w:p w:rsidR="00A26436" w:rsidRPr="0010179E"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7"/>
        </w:numPr>
        <w:spacing w:after="0" w:line="240" w:lineRule="auto"/>
        <w:ind w:left="1170" w:hanging="450"/>
        <w:rPr>
          <w:rFonts w:cstheme="minorHAnsi"/>
          <w:color w:val="000000"/>
          <w:sz w:val="24"/>
          <w:szCs w:val="24"/>
        </w:rPr>
      </w:pPr>
      <w:r w:rsidRPr="004A78BD">
        <w:rPr>
          <w:rFonts w:cstheme="minorHAnsi"/>
          <w:color w:val="000000"/>
          <w:sz w:val="24"/>
          <w:szCs w:val="24"/>
        </w:rPr>
        <w:t>Consider whether it makes sense to continue bar association memberships including whether bars offer reduced fees for retired members and available benefits (such as CLE).</w:t>
      </w:r>
    </w:p>
    <w:p w:rsidR="00A26436" w:rsidRPr="0010179E"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8"/>
        </w:numPr>
        <w:spacing w:after="0" w:line="240" w:lineRule="auto"/>
        <w:ind w:left="1170" w:hanging="450"/>
        <w:rPr>
          <w:rFonts w:cstheme="minorHAnsi"/>
          <w:color w:val="000000"/>
          <w:sz w:val="24"/>
          <w:szCs w:val="24"/>
        </w:rPr>
      </w:pPr>
      <w:r w:rsidRPr="004A78BD">
        <w:rPr>
          <w:rFonts w:cstheme="minorHAnsi"/>
          <w:color w:val="000000"/>
          <w:sz w:val="24"/>
          <w:szCs w:val="24"/>
        </w:rPr>
        <w:t>Notify ARDC re name/address/status change (</w:t>
      </w:r>
      <w:hyperlink r:id="rId7" w:history="1">
        <w:r w:rsidRPr="004A78BD">
          <w:rPr>
            <w:rStyle w:val="Hyperlink"/>
            <w:rFonts w:cstheme="minorHAnsi"/>
            <w:sz w:val="24"/>
            <w:szCs w:val="24"/>
          </w:rPr>
          <w:t>https://registration.iardc.org/attyreg/Registration/Registration_Department/Status_Changes/Registration/regdept/statuschangeinfo.aspx?hkey=e17c4246-76e6-4c20-b4cb-63d47a47ca37</w:t>
        </w:r>
      </w:hyperlink>
      <w:r w:rsidRPr="004A78BD">
        <w:rPr>
          <w:rFonts w:cstheme="minorHAnsi"/>
          <w:color w:val="000000"/>
          <w:sz w:val="24"/>
          <w:szCs w:val="24"/>
        </w:rPr>
        <w:t xml:space="preserve">).  </w:t>
      </w:r>
    </w:p>
    <w:p w:rsidR="00A26436" w:rsidRPr="0010179E"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b/>
          <w:color w:val="000000"/>
          <w:sz w:val="24"/>
          <w:szCs w:val="24"/>
        </w:rPr>
      </w:pPr>
      <w:r w:rsidRPr="0010179E">
        <w:rPr>
          <w:rFonts w:cstheme="minorHAnsi"/>
          <w:b/>
          <w:color w:val="000000"/>
          <w:sz w:val="24"/>
          <w:szCs w:val="24"/>
        </w:rPr>
        <w:t>III.</w:t>
      </w:r>
      <w:r w:rsidRPr="0010179E">
        <w:rPr>
          <w:rFonts w:cstheme="minorHAnsi"/>
          <w:b/>
          <w:color w:val="000000"/>
          <w:sz w:val="24"/>
          <w:szCs w:val="24"/>
        </w:rPr>
        <w:tab/>
        <w:t>CLIENT MATTERS</w:t>
      </w:r>
    </w:p>
    <w:p w:rsidR="00A26436" w:rsidRPr="0010179E"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9"/>
        </w:numPr>
        <w:spacing w:after="0" w:line="240" w:lineRule="auto"/>
        <w:ind w:left="1170" w:hanging="450"/>
        <w:rPr>
          <w:rFonts w:cstheme="minorHAnsi"/>
          <w:color w:val="000000"/>
          <w:sz w:val="24"/>
          <w:szCs w:val="24"/>
        </w:rPr>
      </w:pPr>
      <w:r w:rsidRPr="004A78BD">
        <w:rPr>
          <w:rFonts w:cstheme="minorHAnsi"/>
          <w:color w:val="000000"/>
          <w:sz w:val="24"/>
          <w:szCs w:val="24"/>
        </w:rPr>
        <w:t>Notify your clients.  If you have current clients, be prepared to recommend alternative counsel.</w:t>
      </w:r>
    </w:p>
    <w:p w:rsidR="00A26436" w:rsidRDefault="00A26436" w:rsidP="00A26436">
      <w:pPr>
        <w:spacing w:after="0" w:line="240" w:lineRule="auto"/>
        <w:rPr>
          <w:rFonts w:cstheme="minorHAnsi"/>
          <w:color w:val="000000"/>
          <w:sz w:val="24"/>
          <w:szCs w:val="24"/>
        </w:rPr>
      </w:pPr>
    </w:p>
    <w:p w:rsidR="00A26436" w:rsidRPr="00A52B86" w:rsidRDefault="00A26436" w:rsidP="00A26436">
      <w:pPr>
        <w:spacing w:after="0" w:line="240" w:lineRule="auto"/>
        <w:rPr>
          <w:rFonts w:cstheme="minorHAnsi"/>
          <w:i/>
          <w:color w:val="000000"/>
          <w:sz w:val="24"/>
          <w:szCs w:val="24"/>
        </w:rPr>
      </w:pPr>
      <w:r w:rsidRPr="00A52B86">
        <w:rPr>
          <w:rFonts w:cstheme="minorHAnsi"/>
          <w:b/>
          <w:i/>
          <w:color w:val="000000"/>
          <w:sz w:val="24"/>
          <w:szCs w:val="24"/>
        </w:rPr>
        <w:t xml:space="preserve">Practice Pointer </w:t>
      </w:r>
      <w:r w:rsidR="00167BC6">
        <w:rPr>
          <w:rFonts w:cstheme="minorHAnsi"/>
          <w:b/>
          <w:i/>
          <w:color w:val="000000"/>
          <w:sz w:val="24"/>
          <w:szCs w:val="24"/>
        </w:rPr>
        <w:t>4</w:t>
      </w:r>
      <w:r w:rsidRPr="00A52B86">
        <w:rPr>
          <w:rFonts w:cstheme="minorHAnsi"/>
          <w:i/>
          <w:color w:val="000000"/>
          <w:sz w:val="24"/>
          <w:szCs w:val="24"/>
        </w:rPr>
        <w:t>:  Not all of your clients will promptly respond to your notification.  Make sure you allow sufficient time between your client notice and office closure to assure a smooth transition for your clients.</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0"/>
        </w:numPr>
        <w:spacing w:after="0" w:line="240" w:lineRule="auto"/>
        <w:ind w:left="1170" w:hanging="450"/>
        <w:rPr>
          <w:rFonts w:cstheme="minorHAnsi"/>
          <w:color w:val="000000"/>
          <w:sz w:val="24"/>
          <w:szCs w:val="24"/>
        </w:rPr>
      </w:pPr>
      <w:r w:rsidRPr="004A78BD">
        <w:rPr>
          <w:rFonts w:cstheme="minorHAnsi"/>
          <w:color w:val="000000"/>
          <w:sz w:val="24"/>
          <w:szCs w:val="24"/>
        </w:rPr>
        <w:t xml:space="preserve">Review your files.  Make arrangements with current and past clients to return (or preserve) client property or items with intrinsic value (wills, deeds, </w:t>
      </w:r>
      <w:proofErr w:type="spellStart"/>
      <w:r w:rsidRPr="004A78BD">
        <w:rPr>
          <w:rFonts w:cstheme="minorHAnsi"/>
          <w:color w:val="000000"/>
          <w:sz w:val="24"/>
          <w:szCs w:val="24"/>
        </w:rPr>
        <w:t>etc</w:t>
      </w:r>
      <w:proofErr w:type="spellEnd"/>
      <w:r w:rsidRPr="004A78BD">
        <w:rPr>
          <w:rFonts w:cstheme="minorHAnsi"/>
          <w:color w:val="000000"/>
          <w:sz w:val="24"/>
          <w:szCs w:val="24"/>
        </w:rPr>
        <w:t>…).</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1"/>
        </w:numPr>
        <w:spacing w:after="0" w:line="240" w:lineRule="auto"/>
        <w:ind w:left="1170" w:hanging="450"/>
        <w:rPr>
          <w:rFonts w:cstheme="minorHAnsi"/>
          <w:color w:val="000000"/>
          <w:sz w:val="24"/>
          <w:szCs w:val="24"/>
        </w:rPr>
      </w:pPr>
      <w:r w:rsidRPr="004A78BD">
        <w:rPr>
          <w:rFonts w:cstheme="minorHAnsi"/>
          <w:color w:val="000000"/>
          <w:sz w:val="24"/>
          <w:szCs w:val="24"/>
        </w:rPr>
        <w:t xml:space="preserve">Review your business and client financial accounts, and distribute all client funds from client trust accounts (see generally RPC 1.15).  </w:t>
      </w:r>
    </w:p>
    <w:p w:rsidR="00A26436"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color w:val="000000"/>
          <w:sz w:val="24"/>
          <w:szCs w:val="24"/>
        </w:rPr>
      </w:pPr>
      <w:r w:rsidRPr="007E691C">
        <w:rPr>
          <w:rFonts w:cstheme="minorHAnsi"/>
          <w:b/>
          <w:i/>
          <w:color w:val="000000"/>
          <w:sz w:val="24"/>
          <w:szCs w:val="24"/>
        </w:rPr>
        <w:t xml:space="preserve">Practice Pointer </w:t>
      </w:r>
      <w:r w:rsidR="00167BC6">
        <w:rPr>
          <w:rFonts w:cstheme="minorHAnsi"/>
          <w:b/>
          <w:i/>
          <w:color w:val="000000"/>
          <w:sz w:val="24"/>
          <w:szCs w:val="24"/>
        </w:rPr>
        <w:t>5</w:t>
      </w:r>
      <w:r w:rsidRPr="007E691C">
        <w:rPr>
          <w:rFonts w:cstheme="minorHAnsi"/>
          <w:i/>
          <w:color w:val="000000"/>
          <w:sz w:val="24"/>
          <w:szCs w:val="24"/>
        </w:rPr>
        <w:t>: RPC 1.15(</w:t>
      </w:r>
      <w:proofErr w:type="spellStart"/>
      <w:r w:rsidRPr="007E691C">
        <w:rPr>
          <w:rFonts w:cstheme="minorHAnsi"/>
          <w:i/>
          <w:color w:val="000000"/>
          <w:sz w:val="24"/>
          <w:szCs w:val="24"/>
        </w:rPr>
        <w:t>i</w:t>
      </w:r>
      <w:proofErr w:type="spellEnd"/>
      <w:r w:rsidRPr="007E691C">
        <w:rPr>
          <w:rFonts w:cstheme="minorHAnsi"/>
          <w:i/>
          <w:color w:val="000000"/>
          <w:sz w:val="24"/>
          <w:szCs w:val="24"/>
        </w:rPr>
        <w:t>) sets out the requirements with respect to unclaimed and unidentified funds in a lawyers trust account.  See also ISBA Professional Conduct Advisory Opinion 15-</w:t>
      </w:r>
      <w:r>
        <w:rPr>
          <w:rFonts w:cstheme="minorHAnsi"/>
          <w:i/>
          <w:color w:val="000000"/>
          <w:sz w:val="24"/>
          <w:szCs w:val="24"/>
        </w:rPr>
        <w:t xml:space="preserve"> 02 </w:t>
      </w:r>
      <w:r w:rsidRPr="007E691C">
        <w:rPr>
          <w:rFonts w:cstheme="minorHAnsi"/>
          <w:i/>
          <w:color w:val="000000"/>
          <w:sz w:val="24"/>
          <w:szCs w:val="24"/>
        </w:rPr>
        <w:t>(</w:t>
      </w:r>
      <w:r>
        <w:rPr>
          <w:rFonts w:cstheme="minorHAnsi"/>
          <w:i/>
          <w:color w:val="000000"/>
          <w:sz w:val="24"/>
          <w:szCs w:val="24"/>
        </w:rPr>
        <w:t>May 2015</w:t>
      </w:r>
      <w:r w:rsidRPr="007E691C">
        <w:rPr>
          <w:rFonts w:cstheme="minorHAnsi"/>
          <w:i/>
          <w:color w:val="000000"/>
          <w:sz w:val="24"/>
          <w:szCs w:val="24"/>
        </w:rPr>
        <w:t>)</w:t>
      </w:r>
      <w:r>
        <w:rPr>
          <w:rFonts w:cstheme="minorHAnsi"/>
          <w:i/>
          <w:color w:val="000000"/>
          <w:sz w:val="24"/>
          <w:szCs w:val="24"/>
        </w:rPr>
        <w:t xml:space="preserve"> and ARDC client trust handbook </w:t>
      </w:r>
      <w:r w:rsidRPr="009D45BC">
        <w:rPr>
          <w:rFonts w:cstheme="minorHAnsi"/>
          <w:color w:val="000000"/>
          <w:sz w:val="24"/>
          <w:szCs w:val="24"/>
        </w:rPr>
        <w:t>(</w:t>
      </w:r>
      <w:hyperlink r:id="rId8" w:history="1">
        <w:r w:rsidRPr="00CF7313">
          <w:rPr>
            <w:rStyle w:val="Hyperlink"/>
            <w:rFonts w:cstheme="minorHAnsi"/>
            <w:sz w:val="24"/>
            <w:szCs w:val="24"/>
          </w:rPr>
          <w:t>https://www.iardc.org/ClientTrustAccountHandbook.pdf</w:t>
        </w:r>
      </w:hyperlink>
      <w:r w:rsidRPr="009D45BC">
        <w:rPr>
          <w:rFonts w:cstheme="minorHAnsi"/>
          <w:color w:val="000000"/>
          <w:sz w:val="24"/>
          <w:szCs w:val="24"/>
        </w:rPr>
        <w:t>).</w:t>
      </w:r>
      <w:r>
        <w:rPr>
          <w:rFonts w:cstheme="minorHAnsi"/>
          <w:color w:val="000000"/>
          <w:sz w:val="24"/>
          <w:szCs w:val="24"/>
        </w:rPr>
        <w:t xml:space="preserve">  </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2"/>
        </w:numPr>
        <w:spacing w:after="0" w:line="240" w:lineRule="auto"/>
        <w:ind w:left="1170" w:hanging="450"/>
        <w:rPr>
          <w:rFonts w:cstheme="minorHAnsi"/>
          <w:color w:val="000000"/>
          <w:sz w:val="24"/>
          <w:szCs w:val="24"/>
        </w:rPr>
      </w:pPr>
      <w:r w:rsidRPr="004A78BD">
        <w:rPr>
          <w:rFonts w:cstheme="minorHAnsi"/>
          <w:color w:val="000000"/>
          <w:sz w:val="24"/>
          <w:szCs w:val="24"/>
        </w:rPr>
        <w:t>Make arrangements to preserve indefinitely records that identify the name and last known address of each client, and reflect whether the client’s representation is active or concluded (see Rule 769(1), ISBA Professional Conduct Advisory Opinion 17-02 (March 2017)).</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3"/>
        </w:numPr>
        <w:spacing w:after="0" w:line="240" w:lineRule="auto"/>
        <w:ind w:left="1170" w:hanging="450"/>
        <w:rPr>
          <w:rFonts w:cstheme="minorHAnsi"/>
          <w:color w:val="000000"/>
          <w:sz w:val="24"/>
          <w:szCs w:val="24"/>
        </w:rPr>
      </w:pPr>
      <w:r w:rsidRPr="004A78BD">
        <w:rPr>
          <w:rFonts w:cstheme="minorHAnsi"/>
          <w:color w:val="000000"/>
          <w:sz w:val="24"/>
          <w:szCs w:val="24"/>
        </w:rPr>
        <w:lastRenderedPageBreak/>
        <w:t>Make arrangements to keep for at least seven years after termination of any representation complete records of all financial records related to the lawyer’s practice, and trust account funds and other property of clients or third parties held by the lawyer (see Rule 769(2), ISBA Professional Conduct Advisory Opinion 17-02 (March 2017)).</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4"/>
        </w:numPr>
        <w:spacing w:after="0" w:line="240" w:lineRule="auto"/>
        <w:ind w:left="1170" w:hanging="450"/>
        <w:rPr>
          <w:rFonts w:cstheme="minorHAnsi"/>
          <w:color w:val="000000"/>
          <w:sz w:val="24"/>
          <w:szCs w:val="24"/>
        </w:rPr>
      </w:pPr>
      <w:r w:rsidRPr="004A78BD">
        <w:rPr>
          <w:rFonts w:cstheme="minorHAnsi"/>
          <w:color w:val="000000"/>
          <w:sz w:val="24"/>
          <w:szCs w:val="24"/>
        </w:rPr>
        <w:t>Make arrangements to keep or destroy closed files (after preserving or returning client property or items with intrinsic value).</w:t>
      </w:r>
    </w:p>
    <w:p w:rsidR="00A26436" w:rsidRDefault="00A26436" w:rsidP="00A26436">
      <w:pPr>
        <w:spacing w:after="0" w:line="240" w:lineRule="auto"/>
        <w:rPr>
          <w:rFonts w:cstheme="minorHAnsi"/>
          <w:color w:val="000000"/>
          <w:sz w:val="24"/>
          <w:szCs w:val="24"/>
        </w:rPr>
      </w:pPr>
    </w:p>
    <w:p w:rsidR="00A26436" w:rsidRPr="0047253C" w:rsidRDefault="00A26436" w:rsidP="00A26436">
      <w:pPr>
        <w:spacing w:after="0" w:line="240" w:lineRule="auto"/>
        <w:rPr>
          <w:rFonts w:cstheme="minorHAnsi"/>
          <w:i/>
          <w:color w:val="000000"/>
          <w:sz w:val="24"/>
          <w:szCs w:val="24"/>
        </w:rPr>
      </w:pPr>
      <w:r w:rsidRPr="0047253C">
        <w:rPr>
          <w:rFonts w:cstheme="minorHAnsi"/>
          <w:b/>
          <w:i/>
          <w:color w:val="000000"/>
          <w:sz w:val="24"/>
          <w:szCs w:val="24"/>
        </w:rPr>
        <w:t xml:space="preserve">Practice Pointer </w:t>
      </w:r>
      <w:r w:rsidR="00167BC6">
        <w:rPr>
          <w:rFonts w:cstheme="minorHAnsi"/>
          <w:b/>
          <w:i/>
          <w:color w:val="000000"/>
          <w:sz w:val="24"/>
          <w:szCs w:val="24"/>
        </w:rPr>
        <w:t>6</w:t>
      </w:r>
      <w:r w:rsidRPr="0047253C">
        <w:rPr>
          <w:rFonts w:cstheme="minorHAnsi"/>
          <w:i/>
          <w:color w:val="000000"/>
          <w:sz w:val="24"/>
          <w:szCs w:val="24"/>
        </w:rPr>
        <w:t xml:space="preserve">: Taking into account the requirements of Rule 769, and the return or preservation of client property of items with intrinsic value, it is generally permissible to dispose of closed files within a “reasonable” time after conclusion of a matter, with seven years being generally considered reasonable.  ISBA Professional Conduct Advisory Opinion 17-02 (March 2017).  </w:t>
      </w:r>
    </w:p>
    <w:p w:rsidR="00A26436"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4"/>
        </w:numPr>
        <w:spacing w:after="0" w:line="240" w:lineRule="auto"/>
        <w:ind w:left="1170" w:hanging="450"/>
        <w:rPr>
          <w:rFonts w:cstheme="minorHAnsi"/>
          <w:color w:val="000000"/>
          <w:sz w:val="24"/>
          <w:szCs w:val="24"/>
        </w:rPr>
      </w:pPr>
      <w:r w:rsidRPr="004A78BD">
        <w:rPr>
          <w:rFonts w:cstheme="minorHAnsi"/>
          <w:color w:val="000000"/>
          <w:sz w:val="24"/>
          <w:szCs w:val="24"/>
        </w:rPr>
        <w:t>Withdraw/obtain substitution of counsel in litigation matters.</w:t>
      </w:r>
    </w:p>
    <w:p w:rsidR="00A26436" w:rsidRPr="0010179E" w:rsidRDefault="00A26436" w:rsidP="00A26436">
      <w:pPr>
        <w:spacing w:after="0" w:line="240" w:lineRule="auto"/>
        <w:rPr>
          <w:rFonts w:cstheme="minorHAnsi"/>
          <w:color w:val="000000"/>
          <w:sz w:val="24"/>
          <w:szCs w:val="24"/>
        </w:rPr>
      </w:pPr>
    </w:p>
    <w:p w:rsidR="00A26436" w:rsidRPr="004A78BD" w:rsidRDefault="00A26436" w:rsidP="00A26436">
      <w:pPr>
        <w:pStyle w:val="ListParagraph"/>
        <w:numPr>
          <w:ilvl w:val="0"/>
          <w:numId w:val="14"/>
        </w:numPr>
        <w:spacing w:after="0" w:line="240" w:lineRule="auto"/>
        <w:ind w:left="1170" w:hanging="450"/>
        <w:rPr>
          <w:rFonts w:cstheme="minorHAnsi"/>
          <w:color w:val="000000"/>
          <w:sz w:val="24"/>
          <w:szCs w:val="24"/>
        </w:rPr>
      </w:pPr>
      <w:r w:rsidRPr="004A78BD">
        <w:rPr>
          <w:rFonts w:cstheme="minorHAnsi"/>
          <w:color w:val="000000"/>
          <w:sz w:val="24"/>
          <w:szCs w:val="24"/>
        </w:rPr>
        <w:t>Discontinue/change registration as corporate registered agent (</w:t>
      </w:r>
      <w:hyperlink r:id="rId9" w:history="1">
        <w:r w:rsidRPr="004A78BD">
          <w:rPr>
            <w:rStyle w:val="Hyperlink"/>
            <w:rFonts w:cstheme="minorHAnsi"/>
            <w:sz w:val="24"/>
            <w:szCs w:val="24"/>
          </w:rPr>
          <w:t>https://www.cyberdriveillinois.com/departments/business_services/agent_change/corpagentchange.html</w:t>
        </w:r>
      </w:hyperlink>
      <w:r w:rsidRPr="004A78BD">
        <w:rPr>
          <w:rFonts w:cstheme="minorHAnsi"/>
          <w:color w:val="000000"/>
          <w:sz w:val="24"/>
          <w:szCs w:val="24"/>
        </w:rPr>
        <w:t>) or LLC  (</w:t>
      </w:r>
      <w:hyperlink r:id="rId10" w:history="1">
        <w:r w:rsidRPr="004A78BD">
          <w:rPr>
            <w:rStyle w:val="Hyperlink"/>
            <w:rFonts w:cstheme="minorHAnsi"/>
            <w:sz w:val="24"/>
            <w:szCs w:val="24"/>
          </w:rPr>
          <w:t>https://www.cyberdriveillinois.com/departments/business_services/agent_change/llcagentchange.html</w:t>
        </w:r>
      </w:hyperlink>
      <w:r w:rsidRPr="004A78BD">
        <w:rPr>
          <w:rFonts w:cstheme="minorHAnsi"/>
          <w:color w:val="000000"/>
          <w:sz w:val="24"/>
          <w:szCs w:val="24"/>
        </w:rPr>
        <w:t xml:space="preserve">).  </w:t>
      </w:r>
    </w:p>
    <w:p w:rsidR="00A26436"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color w:val="000000"/>
          <w:sz w:val="24"/>
          <w:szCs w:val="24"/>
        </w:rPr>
      </w:pPr>
      <w:r>
        <w:rPr>
          <w:rFonts w:cstheme="minorHAnsi"/>
          <w:color w:val="000000"/>
          <w:sz w:val="24"/>
          <w:szCs w:val="24"/>
        </w:rPr>
        <w:tab/>
      </w:r>
    </w:p>
    <w:p w:rsidR="00A26436" w:rsidRPr="0010179E" w:rsidRDefault="00A26436" w:rsidP="00A26436">
      <w:pPr>
        <w:spacing w:after="0" w:line="240" w:lineRule="auto"/>
        <w:rPr>
          <w:rFonts w:cstheme="minorHAnsi"/>
          <w:b/>
          <w:color w:val="000000"/>
          <w:sz w:val="24"/>
          <w:szCs w:val="24"/>
        </w:rPr>
      </w:pPr>
      <w:r w:rsidRPr="0010179E">
        <w:rPr>
          <w:rFonts w:cstheme="minorHAnsi"/>
          <w:b/>
          <w:color w:val="000000"/>
          <w:sz w:val="24"/>
          <w:szCs w:val="24"/>
        </w:rPr>
        <w:t>IV.</w:t>
      </w:r>
      <w:r w:rsidRPr="0010179E">
        <w:rPr>
          <w:rFonts w:cstheme="minorHAnsi"/>
          <w:b/>
          <w:color w:val="000000"/>
          <w:sz w:val="24"/>
          <w:szCs w:val="24"/>
        </w:rPr>
        <w:tab/>
        <w:t>BUSINESS MATTERS</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5"/>
        </w:numPr>
        <w:spacing w:after="0" w:line="240" w:lineRule="auto"/>
        <w:ind w:left="1170" w:hanging="450"/>
        <w:rPr>
          <w:rFonts w:cstheme="minorHAnsi"/>
          <w:color w:val="000000"/>
          <w:sz w:val="24"/>
          <w:szCs w:val="24"/>
        </w:rPr>
      </w:pPr>
      <w:r w:rsidRPr="005E4DA6">
        <w:rPr>
          <w:rFonts w:cstheme="minorHAnsi"/>
          <w:color w:val="000000"/>
          <w:sz w:val="24"/>
          <w:szCs w:val="24"/>
        </w:rPr>
        <w:t xml:space="preserve">Notify employees and consider employee issues. </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5"/>
        </w:numPr>
        <w:spacing w:after="0" w:line="240" w:lineRule="auto"/>
        <w:ind w:left="1170" w:hanging="450"/>
        <w:rPr>
          <w:rFonts w:cstheme="minorHAnsi"/>
          <w:color w:val="000000"/>
          <w:sz w:val="24"/>
          <w:szCs w:val="24"/>
        </w:rPr>
      </w:pPr>
      <w:r w:rsidRPr="005E4DA6">
        <w:rPr>
          <w:rFonts w:cstheme="minorHAnsi"/>
          <w:color w:val="000000"/>
          <w:sz w:val="24"/>
          <w:szCs w:val="24"/>
        </w:rPr>
        <w:t>Contact malpractice carrier and discuss whether “tail” insurance is necessary.</w:t>
      </w:r>
      <w:r>
        <w:rPr>
          <w:rFonts w:cstheme="minorHAnsi"/>
          <w:color w:val="000000"/>
          <w:sz w:val="24"/>
          <w:szCs w:val="24"/>
        </w:rPr>
        <w:t xml:space="preserve"> Also consider whether any other forms of insurance need to be maintained such as general liability, workers’ compensation, </w:t>
      </w:r>
      <w:proofErr w:type="spellStart"/>
      <w:r>
        <w:rPr>
          <w:rFonts w:cstheme="minorHAnsi"/>
          <w:color w:val="000000"/>
          <w:sz w:val="24"/>
          <w:szCs w:val="24"/>
        </w:rPr>
        <w:t>etc</w:t>
      </w:r>
      <w:proofErr w:type="spellEnd"/>
      <w:r>
        <w:rPr>
          <w:rFonts w:cstheme="minorHAnsi"/>
          <w:color w:val="000000"/>
          <w:sz w:val="24"/>
          <w:szCs w:val="24"/>
        </w:rPr>
        <w:t>…</w:t>
      </w:r>
    </w:p>
    <w:p w:rsidR="00A26436"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i/>
          <w:color w:val="000000"/>
          <w:sz w:val="24"/>
          <w:szCs w:val="24"/>
        </w:rPr>
      </w:pPr>
      <w:r w:rsidRPr="0067234F">
        <w:rPr>
          <w:rFonts w:cstheme="minorHAnsi"/>
          <w:b/>
          <w:i/>
          <w:color w:val="000000"/>
          <w:sz w:val="24"/>
          <w:szCs w:val="24"/>
        </w:rPr>
        <w:t xml:space="preserve">Practice Pointer </w:t>
      </w:r>
      <w:r w:rsidR="00167BC6">
        <w:rPr>
          <w:rFonts w:cstheme="minorHAnsi"/>
          <w:b/>
          <w:i/>
          <w:color w:val="000000"/>
          <w:sz w:val="24"/>
          <w:szCs w:val="24"/>
        </w:rPr>
        <w:t>7</w:t>
      </w:r>
      <w:r>
        <w:rPr>
          <w:rFonts w:cstheme="minorHAnsi"/>
          <w:i/>
          <w:color w:val="000000"/>
          <w:sz w:val="24"/>
          <w:szCs w:val="24"/>
        </w:rPr>
        <w:t xml:space="preserve">: While active status may not be required for you to accept a referral fee, you must be financially responsible for the referral which may impact your decision to maintain malpractice insurance. See In re </w:t>
      </w:r>
      <w:proofErr w:type="spellStart"/>
      <w:r>
        <w:rPr>
          <w:rFonts w:cstheme="minorHAnsi"/>
          <w:i/>
          <w:color w:val="000000"/>
          <w:sz w:val="24"/>
          <w:szCs w:val="24"/>
        </w:rPr>
        <w:t>Storment</w:t>
      </w:r>
      <w:proofErr w:type="spellEnd"/>
      <w:r>
        <w:rPr>
          <w:rFonts w:cstheme="minorHAnsi"/>
          <w:i/>
          <w:color w:val="000000"/>
          <w:sz w:val="24"/>
          <w:szCs w:val="24"/>
        </w:rPr>
        <w:t xml:space="preserve">, 203 Ill.2d 378 (2002). </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spacing w:after="0" w:line="240" w:lineRule="auto"/>
        <w:ind w:left="1170" w:hanging="450"/>
        <w:rPr>
          <w:rFonts w:cstheme="minorHAnsi"/>
          <w:color w:val="000000"/>
          <w:sz w:val="24"/>
          <w:szCs w:val="24"/>
        </w:rPr>
      </w:pPr>
      <w:r w:rsidRPr="005E4DA6">
        <w:rPr>
          <w:rFonts w:cstheme="minorHAnsi"/>
          <w:color w:val="000000"/>
          <w:sz w:val="24"/>
          <w:szCs w:val="24"/>
        </w:rPr>
        <w:t>Cancel office utilities, telephones</w:t>
      </w:r>
      <w:r w:rsidR="00E27334">
        <w:rPr>
          <w:rFonts w:cstheme="minorHAnsi"/>
          <w:color w:val="000000"/>
          <w:sz w:val="24"/>
          <w:szCs w:val="24"/>
        </w:rPr>
        <w:t>.</w:t>
      </w:r>
      <w:r w:rsidRPr="005E4DA6">
        <w:rPr>
          <w:rFonts w:cstheme="minorHAnsi"/>
          <w:color w:val="000000"/>
          <w:sz w:val="24"/>
          <w:szCs w:val="24"/>
        </w:rPr>
        <w:t xml:space="preserve"> </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spacing w:after="0" w:line="240" w:lineRule="auto"/>
        <w:ind w:left="1170" w:hanging="450"/>
        <w:rPr>
          <w:rFonts w:cstheme="minorHAnsi"/>
          <w:color w:val="000000"/>
          <w:sz w:val="24"/>
          <w:szCs w:val="24"/>
        </w:rPr>
      </w:pPr>
      <w:r w:rsidRPr="005E4DA6">
        <w:rPr>
          <w:rFonts w:cstheme="minorHAnsi"/>
          <w:color w:val="000000"/>
          <w:sz w:val="24"/>
          <w:szCs w:val="24"/>
        </w:rPr>
        <w:t>Cancel legal practice subscriptions</w:t>
      </w:r>
      <w:r w:rsidR="00E27334">
        <w:rPr>
          <w:rFonts w:cstheme="minorHAnsi"/>
          <w:color w:val="000000"/>
          <w:sz w:val="24"/>
          <w:szCs w:val="24"/>
        </w:rPr>
        <w:t>.</w:t>
      </w:r>
      <w:r w:rsidRPr="005E4DA6">
        <w:rPr>
          <w:rFonts w:cstheme="minorHAnsi"/>
          <w:color w:val="000000"/>
          <w:sz w:val="24"/>
          <w:szCs w:val="24"/>
        </w:rPr>
        <w:t xml:space="preserve"> </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spacing w:after="0" w:line="240" w:lineRule="auto"/>
        <w:ind w:left="1080"/>
        <w:rPr>
          <w:rFonts w:cstheme="minorHAnsi"/>
          <w:color w:val="000000"/>
          <w:sz w:val="24"/>
          <w:szCs w:val="24"/>
        </w:rPr>
      </w:pPr>
      <w:r w:rsidRPr="005E4DA6">
        <w:rPr>
          <w:rFonts w:cstheme="minorHAnsi"/>
          <w:color w:val="000000"/>
          <w:sz w:val="24"/>
          <w:szCs w:val="24"/>
        </w:rPr>
        <w:t xml:space="preserve">  Terminate office leases, other lease issues</w:t>
      </w:r>
      <w:r w:rsidR="00E27334">
        <w:rPr>
          <w:rFonts w:cstheme="minorHAnsi"/>
          <w:color w:val="000000"/>
          <w:sz w:val="24"/>
          <w:szCs w:val="24"/>
        </w:rPr>
        <w:t>.</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spacing w:after="0" w:line="240" w:lineRule="auto"/>
        <w:ind w:left="1170" w:hanging="450"/>
        <w:rPr>
          <w:rFonts w:cstheme="minorHAnsi"/>
          <w:color w:val="000000"/>
          <w:sz w:val="24"/>
          <w:szCs w:val="24"/>
        </w:rPr>
      </w:pPr>
      <w:r w:rsidRPr="005E4DA6">
        <w:rPr>
          <w:rFonts w:cstheme="minorHAnsi"/>
          <w:color w:val="000000"/>
          <w:sz w:val="24"/>
          <w:szCs w:val="24"/>
        </w:rPr>
        <w:t>Review and close firm bank accounts, subject to the records retention requir</w:t>
      </w:r>
      <w:r>
        <w:rPr>
          <w:rFonts w:cstheme="minorHAnsi"/>
          <w:color w:val="000000"/>
          <w:sz w:val="24"/>
          <w:szCs w:val="24"/>
        </w:rPr>
        <w:t>e</w:t>
      </w:r>
      <w:r w:rsidRPr="005E4DA6">
        <w:rPr>
          <w:rFonts w:cstheme="minorHAnsi"/>
          <w:color w:val="000000"/>
          <w:sz w:val="24"/>
          <w:szCs w:val="24"/>
        </w:rPr>
        <w:t xml:space="preserve">ments noted above.  </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tabs>
          <w:tab w:val="left" w:pos="1170"/>
        </w:tabs>
        <w:spacing w:after="0" w:line="240" w:lineRule="auto"/>
        <w:ind w:left="1260" w:hanging="540"/>
        <w:rPr>
          <w:rFonts w:cstheme="minorHAnsi"/>
          <w:color w:val="000000"/>
          <w:sz w:val="24"/>
          <w:szCs w:val="24"/>
        </w:rPr>
      </w:pPr>
      <w:r w:rsidRPr="005E4DA6">
        <w:rPr>
          <w:rFonts w:cstheme="minorHAnsi"/>
          <w:color w:val="000000"/>
          <w:sz w:val="24"/>
          <w:szCs w:val="24"/>
        </w:rPr>
        <w:t>Review outstanding billings and invoices, and consider collection activity if necessary.</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spacing w:after="0" w:line="240" w:lineRule="auto"/>
        <w:ind w:left="1080"/>
        <w:rPr>
          <w:rFonts w:cstheme="minorHAnsi"/>
          <w:color w:val="000000"/>
          <w:sz w:val="24"/>
          <w:szCs w:val="24"/>
        </w:rPr>
      </w:pPr>
      <w:r w:rsidRPr="005E4DA6">
        <w:rPr>
          <w:rFonts w:cstheme="minorHAnsi"/>
          <w:color w:val="000000"/>
          <w:sz w:val="24"/>
          <w:szCs w:val="24"/>
        </w:rPr>
        <w:t xml:space="preserve">  Preparation of firm tax returns</w:t>
      </w:r>
      <w:r w:rsidR="00E27334">
        <w:rPr>
          <w:rFonts w:cstheme="minorHAnsi"/>
          <w:color w:val="000000"/>
          <w:sz w:val="24"/>
          <w:szCs w:val="24"/>
        </w:rPr>
        <w:t>.</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spacing w:after="0" w:line="240" w:lineRule="auto"/>
        <w:ind w:left="1170" w:hanging="450"/>
        <w:rPr>
          <w:rFonts w:cstheme="minorHAnsi"/>
          <w:color w:val="000000"/>
          <w:sz w:val="24"/>
          <w:szCs w:val="24"/>
        </w:rPr>
      </w:pPr>
      <w:r w:rsidRPr="005E4DA6">
        <w:rPr>
          <w:rFonts w:cstheme="minorHAnsi"/>
          <w:color w:val="000000"/>
          <w:sz w:val="24"/>
          <w:szCs w:val="24"/>
        </w:rPr>
        <w:t>Contact postal service to arrange forwarding of mail</w:t>
      </w:r>
      <w:r w:rsidR="00E27334">
        <w:rPr>
          <w:rFonts w:cstheme="minorHAnsi"/>
          <w:color w:val="000000"/>
          <w:sz w:val="24"/>
          <w:szCs w:val="24"/>
        </w:rPr>
        <w:t>.</w:t>
      </w:r>
    </w:p>
    <w:p w:rsidR="00A26436" w:rsidRPr="0010179E" w:rsidRDefault="00A26436" w:rsidP="00A26436">
      <w:pPr>
        <w:spacing w:after="0" w:line="240" w:lineRule="auto"/>
        <w:rPr>
          <w:rFonts w:cstheme="minorHAnsi"/>
          <w:color w:val="000000"/>
          <w:sz w:val="24"/>
          <w:szCs w:val="24"/>
        </w:rPr>
      </w:pPr>
    </w:p>
    <w:p w:rsidR="00A26436" w:rsidRPr="005E4DA6" w:rsidRDefault="00A26436" w:rsidP="00A26436">
      <w:pPr>
        <w:pStyle w:val="ListParagraph"/>
        <w:numPr>
          <w:ilvl w:val="0"/>
          <w:numId w:val="16"/>
        </w:numPr>
        <w:tabs>
          <w:tab w:val="left" w:pos="1080"/>
        </w:tabs>
        <w:spacing w:after="0" w:line="240" w:lineRule="auto"/>
        <w:ind w:hanging="726"/>
        <w:rPr>
          <w:rFonts w:cstheme="minorHAnsi"/>
          <w:color w:val="000000"/>
          <w:sz w:val="24"/>
          <w:szCs w:val="24"/>
        </w:rPr>
      </w:pPr>
      <w:r w:rsidRPr="005E4DA6">
        <w:rPr>
          <w:rFonts w:cstheme="minorHAnsi"/>
          <w:color w:val="000000"/>
          <w:sz w:val="24"/>
          <w:szCs w:val="24"/>
        </w:rPr>
        <w:t xml:space="preserve">  Return postage meter</w:t>
      </w:r>
      <w:r w:rsidR="00E27334">
        <w:rPr>
          <w:rFonts w:cstheme="minorHAnsi"/>
          <w:color w:val="000000"/>
          <w:sz w:val="24"/>
          <w:szCs w:val="24"/>
        </w:rPr>
        <w:t>.</w:t>
      </w:r>
    </w:p>
    <w:p w:rsidR="00A26436" w:rsidRPr="0010179E" w:rsidRDefault="00A26436" w:rsidP="00A26436">
      <w:pPr>
        <w:spacing w:after="0" w:line="240" w:lineRule="auto"/>
        <w:rPr>
          <w:rFonts w:cstheme="minorHAnsi"/>
          <w:color w:val="000000"/>
          <w:sz w:val="24"/>
          <w:szCs w:val="24"/>
        </w:rPr>
      </w:pPr>
    </w:p>
    <w:p w:rsidR="00A26436" w:rsidRPr="0010179E" w:rsidRDefault="00A26436" w:rsidP="00A26436">
      <w:pPr>
        <w:spacing w:after="0" w:line="240" w:lineRule="auto"/>
        <w:rPr>
          <w:rFonts w:cstheme="minorHAnsi"/>
          <w:color w:val="000000"/>
          <w:sz w:val="24"/>
          <w:szCs w:val="24"/>
        </w:rPr>
      </w:pPr>
      <w:r w:rsidRPr="0010179E">
        <w:rPr>
          <w:rFonts w:cstheme="minorHAnsi"/>
          <w:color w:val="000000"/>
          <w:sz w:val="24"/>
          <w:szCs w:val="24"/>
        </w:rPr>
        <w:tab/>
      </w:r>
      <w:r w:rsidRPr="0010179E">
        <w:rPr>
          <w:rFonts w:cstheme="minorHAnsi"/>
          <w:color w:val="000000"/>
          <w:sz w:val="24"/>
          <w:szCs w:val="24"/>
        </w:rPr>
        <w:tab/>
      </w:r>
    </w:p>
    <w:p w:rsidR="00A26436" w:rsidRPr="0010179E" w:rsidRDefault="00A26436" w:rsidP="00A26436">
      <w:pPr>
        <w:spacing w:after="0" w:line="240" w:lineRule="auto"/>
        <w:rPr>
          <w:rFonts w:cstheme="minorHAnsi"/>
          <w:b/>
          <w:color w:val="000000"/>
          <w:sz w:val="24"/>
          <w:szCs w:val="24"/>
        </w:rPr>
      </w:pPr>
      <w:r w:rsidRPr="0010179E">
        <w:rPr>
          <w:rFonts w:cstheme="minorHAnsi"/>
          <w:b/>
          <w:color w:val="000000"/>
          <w:sz w:val="24"/>
          <w:szCs w:val="24"/>
        </w:rPr>
        <w:t>V.</w:t>
      </w:r>
      <w:r w:rsidRPr="0010179E">
        <w:rPr>
          <w:rFonts w:cstheme="minorHAnsi"/>
          <w:b/>
          <w:color w:val="000000"/>
          <w:sz w:val="24"/>
          <w:szCs w:val="24"/>
        </w:rPr>
        <w:tab/>
        <w:t>HEALTH AND WELLNESS ISSUES</w:t>
      </w:r>
    </w:p>
    <w:p w:rsidR="00A26436" w:rsidRPr="0010179E"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9"/>
        </w:numPr>
        <w:spacing w:after="0" w:line="240" w:lineRule="auto"/>
        <w:ind w:left="1170" w:hanging="450"/>
        <w:rPr>
          <w:rFonts w:cstheme="minorHAnsi"/>
          <w:color w:val="000000"/>
          <w:sz w:val="24"/>
          <w:szCs w:val="24"/>
        </w:rPr>
      </w:pPr>
      <w:r w:rsidRPr="001C22B1">
        <w:rPr>
          <w:rFonts w:cstheme="minorHAnsi"/>
          <w:color w:val="000000"/>
          <w:sz w:val="24"/>
          <w:szCs w:val="24"/>
        </w:rPr>
        <w:t xml:space="preserve">Stay active – Exercise both your body and mind </w:t>
      </w:r>
      <w:proofErr w:type="spellStart"/>
      <w:r w:rsidRPr="001C22B1">
        <w:rPr>
          <w:rFonts w:cstheme="minorHAnsi"/>
          <w:color w:val="000000"/>
          <w:sz w:val="24"/>
          <w:szCs w:val="24"/>
        </w:rPr>
        <w:t>everyday</w:t>
      </w:r>
      <w:proofErr w:type="spellEnd"/>
      <w:r w:rsidRPr="001C22B1">
        <w:rPr>
          <w:rFonts w:cstheme="minorHAnsi"/>
          <w:color w:val="000000"/>
          <w:sz w:val="24"/>
          <w:szCs w:val="24"/>
        </w:rPr>
        <w:t>.</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9"/>
        </w:numPr>
        <w:spacing w:after="0" w:line="240" w:lineRule="auto"/>
        <w:ind w:left="1170" w:hanging="450"/>
        <w:rPr>
          <w:rFonts w:cstheme="minorHAnsi"/>
          <w:color w:val="000000"/>
          <w:sz w:val="24"/>
          <w:szCs w:val="24"/>
        </w:rPr>
      </w:pPr>
      <w:r w:rsidRPr="001C22B1">
        <w:rPr>
          <w:rFonts w:cstheme="minorHAnsi"/>
          <w:color w:val="000000"/>
          <w:sz w:val="24"/>
          <w:szCs w:val="24"/>
        </w:rPr>
        <w:t>Stay centered and calm – Consider meditation or</w:t>
      </w:r>
      <w:r w:rsidR="001C22B1">
        <w:rPr>
          <w:rFonts w:cstheme="minorHAnsi"/>
          <w:color w:val="000000"/>
          <w:sz w:val="24"/>
          <w:szCs w:val="24"/>
        </w:rPr>
        <w:t xml:space="preserve"> daily deep breathing exercise </w:t>
      </w:r>
      <w:r w:rsidRPr="001C22B1">
        <w:rPr>
          <w:rFonts w:cstheme="minorHAnsi"/>
          <w:color w:val="000000"/>
          <w:sz w:val="24"/>
          <w:szCs w:val="24"/>
        </w:rPr>
        <w:t>(they are easy to do and you can do them from anywhere)</w:t>
      </w:r>
      <w:r w:rsidR="00E27334" w:rsidRPr="001C22B1">
        <w:rPr>
          <w:rFonts w:cstheme="minorHAnsi"/>
          <w:color w:val="000000"/>
          <w:sz w:val="24"/>
          <w:szCs w:val="24"/>
        </w:rPr>
        <w:t>.</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9"/>
        </w:numPr>
        <w:spacing w:after="0" w:line="240" w:lineRule="auto"/>
        <w:ind w:left="1170" w:hanging="450"/>
        <w:rPr>
          <w:rFonts w:cstheme="minorHAnsi"/>
          <w:color w:val="000000"/>
          <w:sz w:val="24"/>
          <w:szCs w:val="24"/>
        </w:rPr>
      </w:pPr>
      <w:r w:rsidRPr="001C22B1">
        <w:rPr>
          <w:rFonts w:cstheme="minorHAnsi"/>
          <w:color w:val="000000"/>
          <w:sz w:val="24"/>
          <w:szCs w:val="24"/>
        </w:rPr>
        <w:t xml:space="preserve">Learn something new – Take a class (there are lots of free classes on the </w:t>
      </w:r>
      <w:r w:rsidR="001C22B1">
        <w:rPr>
          <w:rFonts w:cstheme="minorHAnsi"/>
          <w:color w:val="000000"/>
          <w:sz w:val="24"/>
          <w:szCs w:val="24"/>
        </w:rPr>
        <w:t>I</w:t>
      </w:r>
      <w:r w:rsidRPr="001C22B1">
        <w:rPr>
          <w:rFonts w:cstheme="minorHAnsi"/>
          <w:color w:val="000000"/>
          <w:sz w:val="24"/>
          <w:szCs w:val="24"/>
        </w:rPr>
        <w:t>nternet).</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9"/>
        </w:numPr>
        <w:spacing w:after="0" w:line="240" w:lineRule="auto"/>
        <w:ind w:left="1170" w:hanging="450"/>
        <w:rPr>
          <w:rFonts w:cstheme="minorHAnsi"/>
          <w:color w:val="000000"/>
          <w:sz w:val="24"/>
          <w:szCs w:val="24"/>
        </w:rPr>
      </w:pPr>
      <w:r w:rsidRPr="001C22B1">
        <w:rPr>
          <w:rFonts w:cstheme="minorHAnsi"/>
          <w:color w:val="000000"/>
          <w:sz w:val="24"/>
          <w:szCs w:val="24"/>
        </w:rPr>
        <w:t>Hobbies – Continue with your hobbies or develop new ones.</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9"/>
        </w:numPr>
        <w:spacing w:after="0" w:line="240" w:lineRule="auto"/>
        <w:ind w:left="1170" w:hanging="450"/>
        <w:rPr>
          <w:rFonts w:cstheme="minorHAnsi"/>
          <w:color w:val="000000"/>
          <w:sz w:val="24"/>
          <w:szCs w:val="24"/>
        </w:rPr>
      </w:pPr>
      <w:r w:rsidRPr="001C22B1">
        <w:rPr>
          <w:rFonts w:cstheme="minorHAnsi"/>
          <w:color w:val="000000"/>
          <w:sz w:val="24"/>
          <w:szCs w:val="24"/>
        </w:rPr>
        <w:t>Volunteer</w:t>
      </w:r>
      <w:r w:rsidR="00E27334" w:rsidRPr="001C22B1">
        <w:rPr>
          <w:rFonts w:cstheme="minorHAnsi"/>
          <w:color w:val="000000"/>
          <w:sz w:val="24"/>
          <w:szCs w:val="24"/>
        </w:rPr>
        <w:t>.</w:t>
      </w:r>
    </w:p>
    <w:p w:rsidR="00A26436" w:rsidRDefault="00A26436" w:rsidP="00A26436">
      <w:pPr>
        <w:spacing w:after="0" w:line="240" w:lineRule="auto"/>
        <w:rPr>
          <w:rFonts w:cstheme="minorHAnsi"/>
          <w:color w:val="000000"/>
          <w:sz w:val="24"/>
          <w:szCs w:val="24"/>
        </w:rPr>
      </w:pPr>
    </w:p>
    <w:p w:rsidR="00A26436" w:rsidRPr="001C22B1" w:rsidRDefault="00A26436" w:rsidP="001C22B1">
      <w:pPr>
        <w:pStyle w:val="ListParagraph"/>
        <w:numPr>
          <w:ilvl w:val="0"/>
          <w:numId w:val="19"/>
        </w:numPr>
        <w:spacing w:after="0" w:line="240" w:lineRule="auto"/>
        <w:ind w:left="1170" w:hanging="450"/>
        <w:rPr>
          <w:rFonts w:cstheme="minorHAnsi"/>
          <w:color w:val="000000"/>
          <w:sz w:val="24"/>
          <w:szCs w:val="24"/>
        </w:rPr>
      </w:pPr>
      <w:r w:rsidRPr="001C22B1">
        <w:rPr>
          <w:rFonts w:cstheme="minorHAnsi"/>
          <w:color w:val="000000"/>
          <w:sz w:val="24"/>
          <w:szCs w:val="24"/>
        </w:rPr>
        <w:t xml:space="preserve">Travel – Try traditional vacations or even “staycations” by exploring tourist </w:t>
      </w:r>
      <w:bookmarkStart w:id="0" w:name="_GoBack"/>
      <w:bookmarkEnd w:id="0"/>
      <w:r w:rsidRPr="001C22B1">
        <w:rPr>
          <w:rFonts w:cstheme="minorHAnsi"/>
          <w:color w:val="000000"/>
          <w:sz w:val="24"/>
          <w:szCs w:val="24"/>
        </w:rPr>
        <w:t>destinations in your home area</w:t>
      </w:r>
      <w:r w:rsidR="00E27334" w:rsidRPr="001C22B1">
        <w:rPr>
          <w:rFonts w:cstheme="minorHAnsi"/>
          <w:color w:val="000000"/>
          <w:sz w:val="24"/>
          <w:szCs w:val="24"/>
        </w:rPr>
        <w:t>.</w:t>
      </w:r>
    </w:p>
    <w:p w:rsidR="00A26436" w:rsidRPr="0010179E" w:rsidRDefault="00A26436" w:rsidP="00A26436">
      <w:pPr>
        <w:spacing w:after="0" w:line="240" w:lineRule="auto"/>
        <w:rPr>
          <w:rFonts w:ascii="Times New Roman" w:hAnsi="Times New Roman" w:cs="Times New Roman"/>
          <w:sz w:val="24"/>
          <w:szCs w:val="24"/>
        </w:rPr>
      </w:pPr>
    </w:p>
    <w:p w:rsidR="00A04388" w:rsidRDefault="00E27334">
      <w:r>
        <w:t>_________________________</w:t>
      </w:r>
    </w:p>
    <w:p w:rsidR="00E27334" w:rsidRPr="00E27334" w:rsidRDefault="00E27334" w:rsidP="00E27334">
      <w:pPr>
        <w:pStyle w:val="NormalWeb"/>
        <w:rPr>
          <w:rStyle w:val="Strong"/>
          <w:rFonts w:asciiTheme="minorHAnsi" w:hAnsiTheme="minorHAnsi" w:cstheme="minorHAnsi"/>
          <w:b w:val="0"/>
          <w:i/>
          <w:color w:val="000000"/>
        </w:rPr>
      </w:pPr>
      <w:r w:rsidRPr="00E27334">
        <w:rPr>
          <w:rStyle w:val="Strong"/>
          <w:rFonts w:asciiTheme="minorHAnsi" w:hAnsiTheme="minorHAnsi" w:cstheme="minorHAnsi"/>
          <w:i/>
          <w:color w:val="000000"/>
        </w:rPr>
        <w:t>*This checklist is provided as a service of the ISBA’s Special Committee on Transition Planning.  It is intended as general guidance and not as legal advice or a comprehensive plan that fits all circumstances.  It is not a substitute for a lawyers own legal research, preparation</w:t>
      </w:r>
      <w:proofErr w:type="gramStart"/>
      <w:r w:rsidRPr="00E27334">
        <w:rPr>
          <w:rStyle w:val="Strong"/>
          <w:rFonts w:asciiTheme="minorHAnsi" w:hAnsiTheme="minorHAnsi" w:cstheme="minorHAnsi"/>
          <w:i/>
          <w:color w:val="000000"/>
        </w:rPr>
        <w:t>,  and</w:t>
      </w:r>
      <w:proofErr w:type="gramEnd"/>
      <w:r w:rsidRPr="00E27334">
        <w:rPr>
          <w:rStyle w:val="Strong"/>
          <w:rFonts w:asciiTheme="minorHAnsi" w:hAnsiTheme="minorHAnsi" w:cstheme="minorHAnsi"/>
          <w:i/>
          <w:color w:val="000000"/>
        </w:rPr>
        <w:t xml:space="preserve"> judgment.</w:t>
      </w:r>
    </w:p>
    <w:p w:rsidR="00E27334" w:rsidRDefault="00E27334"/>
    <w:sectPr w:rsidR="00E273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F7E" w:rsidRDefault="00700F7E" w:rsidP="00700F7E">
      <w:pPr>
        <w:spacing w:after="0" w:line="240" w:lineRule="auto"/>
      </w:pPr>
      <w:r>
        <w:separator/>
      </w:r>
    </w:p>
  </w:endnote>
  <w:endnote w:type="continuationSeparator" w:id="0">
    <w:p w:rsidR="00700F7E" w:rsidRDefault="00700F7E" w:rsidP="0070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7E" w:rsidRPr="00700F7E" w:rsidRDefault="00700F7E">
    <w:pPr>
      <w:pStyle w:val="Footer"/>
      <w:rPr>
        <w:sz w:val="16"/>
        <w:szCs w:val="16"/>
      </w:rPr>
    </w:pPr>
    <w:r w:rsidRPr="00700F7E">
      <w:rPr>
        <w:sz w:val="16"/>
        <w:szCs w:val="16"/>
      </w:rPr>
      <w:fldChar w:fldCharType="begin"/>
    </w:r>
    <w:r w:rsidRPr="00700F7E">
      <w:rPr>
        <w:sz w:val="16"/>
        <w:szCs w:val="16"/>
      </w:rPr>
      <w:instrText xml:space="preserve"> FILENAME  \p  \* MERGEFORMAT </w:instrText>
    </w:r>
    <w:r w:rsidRPr="00700F7E">
      <w:rPr>
        <w:sz w:val="16"/>
        <w:szCs w:val="16"/>
      </w:rPr>
      <w:fldChar w:fldCharType="separate"/>
    </w:r>
    <w:r w:rsidR="00A01D2E">
      <w:rPr>
        <w:noProof/>
        <w:sz w:val="16"/>
        <w:szCs w:val="16"/>
      </w:rPr>
      <w:t>G:\LEGAL\2018-051 - Transitions Committee - CJN\TRANSITION CHECKLIST (Final).docx</w:t>
    </w:r>
    <w:r w:rsidRPr="00700F7E">
      <w:rPr>
        <w:sz w:val="16"/>
        <w:szCs w:val="16"/>
      </w:rPr>
      <w:fldChar w:fldCharType="end"/>
    </w:r>
  </w:p>
  <w:p w:rsidR="00700F7E" w:rsidRDefault="00700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F7E" w:rsidRDefault="00700F7E" w:rsidP="00700F7E">
      <w:pPr>
        <w:spacing w:after="0" w:line="240" w:lineRule="auto"/>
      </w:pPr>
      <w:r>
        <w:separator/>
      </w:r>
    </w:p>
  </w:footnote>
  <w:footnote w:type="continuationSeparator" w:id="0">
    <w:p w:rsidR="00700F7E" w:rsidRDefault="00700F7E" w:rsidP="00700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F6C"/>
    <w:multiLevelType w:val="hybridMultilevel"/>
    <w:tmpl w:val="0E22B1C4"/>
    <w:lvl w:ilvl="0" w:tplc="2CDECBF6">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A5A48E8"/>
    <w:multiLevelType w:val="hybridMultilevel"/>
    <w:tmpl w:val="E52C47E2"/>
    <w:lvl w:ilvl="0" w:tplc="139A7C96">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E6F7C80"/>
    <w:multiLevelType w:val="hybridMultilevel"/>
    <w:tmpl w:val="97F650EA"/>
    <w:lvl w:ilvl="0" w:tplc="93AA458C">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54A7EEC"/>
    <w:multiLevelType w:val="hybridMultilevel"/>
    <w:tmpl w:val="8D1CDBB8"/>
    <w:lvl w:ilvl="0" w:tplc="9EE407D2">
      <w:start w:val="1"/>
      <w:numFmt w:val="bullet"/>
      <w:lvlText w:val="□"/>
      <w:lvlJc w:val="left"/>
      <w:pPr>
        <w:ind w:left="2160" w:hanging="360"/>
      </w:pPr>
      <w:rPr>
        <w:rFonts w:ascii="Courier New" w:hAnsi="Courier New"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271CE9"/>
    <w:multiLevelType w:val="hybridMultilevel"/>
    <w:tmpl w:val="4672DF40"/>
    <w:lvl w:ilvl="0" w:tplc="5CCA248A">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1DA74553"/>
    <w:multiLevelType w:val="hybridMultilevel"/>
    <w:tmpl w:val="D902BF36"/>
    <w:lvl w:ilvl="0" w:tplc="F142F8CA">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EE31126"/>
    <w:multiLevelType w:val="hybridMultilevel"/>
    <w:tmpl w:val="CDF83A30"/>
    <w:lvl w:ilvl="0" w:tplc="5CCA248A">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351A670B"/>
    <w:multiLevelType w:val="hybridMultilevel"/>
    <w:tmpl w:val="F818733C"/>
    <w:lvl w:ilvl="0" w:tplc="4F14077C">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35F83C3E"/>
    <w:multiLevelType w:val="hybridMultilevel"/>
    <w:tmpl w:val="8CCAA2B2"/>
    <w:lvl w:ilvl="0" w:tplc="3A367396">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403868EF"/>
    <w:multiLevelType w:val="hybridMultilevel"/>
    <w:tmpl w:val="60E496CA"/>
    <w:lvl w:ilvl="0" w:tplc="26BA160A">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16635D3"/>
    <w:multiLevelType w:val="hybridMultilevel"/>
    <w:tmpl w:val="4C3CF434"/>
    <w:lvl w:ilvl="0" w:tplc="2736B0F8">
      <w:start w:val="1"/>
      <w:numFmt w:val="bullet"/>
      <w:lvlText w:val="□"/>
      <w:lvlJc w:val="left"/>
      <w:pPr>
        <w:ind w:left="2160" w:hanging="360"/>
      </w:pPr>
      <w:rPr>
        <w:rFonts w:ascii="Courier New" w:hAnsi="Courier New"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9382BC2"/>
    <w:multiLevelType w:val="hybridMultilevel"/>
    <w:tmpl w:val="847C00CE"/>
    <w:lvl w:ilvl="0" w:tplc="5CCA248A">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533D055C"/>
    <w:multiLevelType w:val="hybridMultilevel"/>
    <w:tmpl w:val="E1201C32"/>
    <w:lvl w:ilvl="0" w:tplc="2004BBFC">
      <w:start w:val="1"/>
      <w:numFmt w:val="bullet"/>
      <w:lvlText w:val="□"/>
      <w:lvlJc w:val="left"/>
      <w:pPr>
        <w:ind w:left="1496" w:hanging="360"/>
      </w:pPr>
      <w:rPr>
        <w:rFonts w:ascii="Courier New" w:hAnsi="Courier New" w:hint="default"/>
        <w:sz w:val="28"/>
        <w:szCs w:val="28"/>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15:restartNumberingAfterBreak="0">
    <w:nsid w:val="5A62193F"/>
    <w:multiLevelType w:val="hybridMultilevel"/>
    <w:tmpl w:val="E5A0B528"/>
    <w:lvl w:ilvl="0" w:tplc="6CE627FC">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5E262196"/>
    <w:multiLevelType w:val="hybridMultilevel"/>
    <w:tmpl w:val="18B420DC"/>
    <w:lvl w:ilvl="0" w:tplc="E3ACB806">
      <w:start w:val="1"/>
      <w:numFmt w:val="bullet"/>
      <w:lvlText w:val="□"/>
      <w:lvlJc w:val="left"/>
      <w:pPr>
        <w:ind w:left="1170" w:hanging="360"/>
      </w:pPr>
      <w:rPr>
        <w:rFonts w:ascii="Courier New" w:hAnsi="Courier New" w:hint="default"/>
        <w:sz w:val="28"/>
        <w:szCs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0C53CA3"/>
    <w:multiLevelType w:val="hybridMultilevel"/>
    <w:tmpl w:val="210C2906"/>
    <w:lvl w:ilvl="0" w:tplc="5532B640">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79016A80"/>
    <w:multiLevelType w:val="hybridMultilevel"/>
    <w:tmpl w:val="5E1253E4"/>
    <w:lvl w:ilvl="0" w:tplc="E9CA9876">
      <w:start w:val="1"/>
      <w:numFmt w:val="bullet"/>
      <w:lvlText w:val="□"/>
      <w:lvlJc w:val="left"/>
      <w:pPr>
        <w:ind w:left="2160" w:hanging="360"/>
      </w:pPr>
      <w:rPr>
        <w:rFonts w:ascii="Courier New" w:hAnsi="Courier New"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A39215D"/>
    <w:multiLevelType w:val="hybridMultilevel"/>
    <w:tmpl w:val="BB3A39AE"/>
    <w:lvl w:ilvl="0" w:tplc="3ED4AA18">
      <w:start w:val="1"/>
      <w:numFmt w:val="bullet"/>
      <w:lvlText w:val="□"/>
      <w:lvlJc w:val="left"/>
      <w:pPr>
        <w:ind w:left="1546" w:hanging="360"/>
      </w:pPr>
      <w:rPr>
        <w:rFonts w:ascii="Courier New" w:hAnsi="Courier New" w:hint="default"/>
        <w:sz w:val="28"/>
        <w:szCs w:val="28"/>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18" w15:restartNumberingAfterBreak="0">
    <w:nsid w:val="7C8015BE"/>
    <w:multiLevelType w:val="hybridMultilevel"/>
    <w:tmpl w:val="D506FDDC"/>
    <w:lvl w:ilvl="0" w:tplc="6BA4D136">
      <w:start w:val="1"/>
      <w:numFmt w:val="bullet"/>
      <w:lvlText w:val="□"/>
      <w:lvlJc w:val="left"/>
      <w:pPr>
        <w:ind w:left="1446" w:hanging="360"/>
      </w:pPr>
      <w:rPr>
        <w:rFonts w:ascii="Courier New" w:hAnsi="Courier New"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4"/>
  </w:num>
  <w:num w:numId="2">
    <w:abstractNumId w:val="18"/>
  </w:num>
  <w:num w:numId="3">
    <w:abstractNumId w:val="5"/>
  </w:num>
  <w:num w:numId="4">
    <w:abstractNumId w:val="8"/>
  </w:num>
  <w:num w:numId="5">
    <w:abstractNumId w:val="15"/>
  </w:num>
  <w:num w:numId="6">
    <w:abstractNumId w:val="9"/>
  </w:num>
  <w:num w:numId="7">
    <w:abstractNumId w:val="7"/>
  </w:num>
  <w:num w:numId="8">
    <w:abstractNumId w:val="17"/>
  </w:num>
  <w:num w:numId="9">
    <w:abstractNumId w:val="2"/>
  </w:num>
  <w:num w:numId="10">
    <w:abstractNumId w:val="1"/>
  </w:num>
  <w:num w:numId="11">
    <w:abstractNumId w:val="12"/>
  </w:num>
  <w:num w:numId="12">
    <w:abstractNumId w:val="0"/>
  </w:num>
  <w:num w:numId="13">
    <w:abstractNumId w:val="13"/>
  </w:num>
  <w:num w:numId="14">
    <w:abstractNumId w:val="4"/>
  </w:num>
  <w:num w:numId="15">
    <w:abstractNumId w:val="6"/>
  </w:num>
  <w:num w:numId="16">
    <w:abstractNumId w:val="11"/>
  </w:num>
  <w:num w:numId="17">
    <w:abstractNumId w:val="1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36"/>
    <w:rsid w:val="00167BC6"/>
    <w:rsid w:val="001B4AFE"/>
    <w:rsid w:val="001C22B1"/>
    <w:rsid w:val="00700F7E"/>
    <w:rsid w:val="00A01D2E"/>
    <w:rsid w:val="00A04388"/>
    <w:rsid w:val="00A26436"/>
    <w:rsid w:val="00BC01CA"/>
    <w:rsid w:val="00E27334"/>
    <w:rsid w:val="00E4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8CFE8-F7A1-4F7C-A37A-01785C19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436"/>
    <w:rPr>
      <w:color w:val="0563C1" w:themeColor="hyperlink"/>
      <w:u w:val="single"/>
    </w:rPr>
  </w:style>
  <w:style w:type="paragraph" w:styleId="ListParagraph">
    <w:name w:val="List Paragraph"/>
    <w:basedOn w:val="Normal"/>
    <w:uiPriority w:val="34"/>
    <w:qFormat/>
    <w:rsid w:val="00A26436"/>
    <w:pPr>
      <w:ind w:left="720"/>
      <w:contextualSpacing/>
    </w:pPr>
  </w:style>
  <w:style w:type="paragraph" w:styleId="Header">
    <w:name w:val="header"/>
    <w:basedOn w:val="Normal"/>
    <w:link w:val="HeaderChar"/>
    <w:uiPriority w:val="99"/>
    <w:unhideWhenUsed/>
    <w:rsid w:val="00700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F7E"/>
  </w:style>
  <w:style w:type="paragraph" w:styleId="Footer">
    <w:name w:val="footer"/>
    <w:basedOn w:val="Normal"/>
    <w:link w:val="FooterChar"/>
    <w:uiPriority w:val="99"/>
    <w:unhideWhenUsed/>
    <w:rsid w:val="00700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F7E"/>
  </w:style>
  <w:style w:type="paragraph" w:styleId="BalloonText">
    <w:name w:val="Balloon Text"/>
    <w:basedOn w:val="Normal"/>
    <w:link w:val="BalloonTextChar"/>
    <w:uiPriority w:val="99"/>
    <w:semiHidden/>
    <w:unhideWhenUsed/>
    <w:rsid w:val="00A0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2E"/>
    <w:rPr>
      <w:rFonts w:ascii="Segoe UI" w:hAnsi="Segoe UI" w:cs="Segoe UI"/>
      <w:sz w:val="18"/>
      <w:szCs w:val="18"/>
    </w:rPr>
  </w:style>
  <w:style w:type="paragraph" w:styleId="NormalWeb">
    <w:name w:val="Normal (Web)"/>
    <w:basedOn w:val="Normal"/>
    <w:uiPriority w:val="99"/>
    <w:semiHidden/>
    <w:unhideWhenUsed/>
    <w:rsid w:val="00A01D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rdc.org/ClientTrustAccountHandboo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gistration.iardc.org/attyreg/Registration/Registration_Department/Status_Changes/Registration/regdept/statuschangeinfo.aspx?hkey=e17c4246-76e6-4c20-b4cb-63d47a47ca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yberdriveillinois.com/departments/business_services/agent_change/llcagentchange.html" TargetMode="External"/><Relationship Id="rId4" Type="http://schemas.openxmlformats.org/officeDocument/2006/relationships/webSettings" Target="webSettings.xml"/><Relationship Id="rId9" Type="http://schemas.openxmlformats.org/officeDocument/2006/relationships/hyperlink" Target="https://www.cyberdriveillinois.com/departments/business_services/agent_change/corpagentcha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 Northrup</dc:creator>
  <cp:keywords/>
  <dc:description/>
  <cp:lastModifiedBy>Kim Furr</cp:lastModifiedBy>
  <cp:revision>2</cp:revision>
  <cp:lastPrinted>2019-05-03T19:53:00Z</cp:lastPrinted>
  <dcterms:created xsi:type="dcterms:W3CDTF">2019-05-03T20:13:00Z</dcterms:created>
  <dcterms:modified xsi:type="dcterms:W3CDTF">2019-05-03T20:13:00Z</dcterms:modified>
</cp:coreProperties>
</file>